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7"/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附件3</w:t>
      </w:r>
    </w:p>
    <w:p>
      <w:pPr>
        <w:pStyle w:val="4"/>
        <w:shd w:val="clear" w:color="auto" w:fill="FFFFFF"/>
        <w:spacing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hd w:val="clear" w:color="auto" w:fill="FFFFFF"/>
        <w:spacing w:line="480" w:lineRule="atLeast"/>
        <w:jc w:val="center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Style w:val="7"/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地质灾害分级标准</w:t>
      </w:r>
      <w:bookmarkEnd w:id="0"/>
    </w:p>
    <w:p>
      <w:pPr>
        <w:pStyle w:val="4"/>
        <w:shd w:val="clear" w:color="auto" w:fill="FFFFFF"/>
        <w:spacing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1.特别重大地质灾害（I级）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（1）因山体崩塌、滑坡、泥石流、地面塌陷等灾害造成30人以上死亡，或直接经济损失1000万元以上的突发地质灾害。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（2）受突发地质灾害威胁，需转移人数在500人以上，或可能造成的经济损失在3000万元以上的灾害险情。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（3）造成铁路繁忙干线、国家高速公路网线路、民航和航道长时间中断，或特别严重威胁群众生命财产安全、有特别严重社会影响的突发地质灾害。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（4）因突发地质灾害造成大江大河干流或支流被阻断，对群众生命财产安全造成特别重大影响。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2.重大地质灾害（II级）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（1）因山体崩塌、滑坡、泥石流、地面塌陷等灾害造成10人以上、30人以下死亡，或直接经济损失500万元以上、1000万元以下的突发地质灾害。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（2）受突发地质灾害威胁，需转移人数在200人以上、500人以下，或可能造成经济损失1000万元以上、3000万元以下的灾害险情。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（3）造成铁路繁忙干线、国家高速公路网线路、民航和航道较长时间中断，或严重威胁群众生命财产安全、有严重社会影响的突发地质灾害。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（4）因突发地质灾害造成大江大河支流被阻断，对群众生命财产安全造成重大影响。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3.较大地质灾害（III级）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（1）因山体崩塌、滑坡、泥石流、地面塌陷等灾害造成3人以上、10人以下死亡，或直接经济损失100万元以上、500万元以下的突发地质灾害。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（2）受突发地质灾害威胁，需转移人数在50人以上、200人以下，或可能造成经济损失300万元以上、1000万元以下的灾害险情。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（3）造成铁路繁忙干线、国家高速公路网线路、民航和航道短时中断，或较严重威胁群众生命财产安全、有较大社会影响的突发地质灾害。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4.一般地质灾害（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Ⅳ</w:t>
      </w: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级）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（1）因山体崩塌、滑坡、泥石流、地面塌陷等灾害造成3人以下死亡，或直接经济损失100万元以下的突发地质灾害。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（2）受突发地质灾害威胁，需转移人数在50人以下，或可能造成的经济损失300万元以下的灾害险情。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（3）造成交通运输中断，或威胁群众生命财产安全、有一定社会影响的突发地质灾害。</w:t>
      </w:r>
    </w:p>
    <w:p>
      <w:pPr>
        <w:pStyle w:val="4"/>
        <w:shd w:val="clear" w:color="auto" w:fill="FFFFFF"/>
        <w:spacing w:before="150" w:line="480" w:lineRule="atLeast"/>
        <w:jc w:val="both"/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微软雅黑"/>
          <w:color w:val="000000" w:themeColor="text1"/>
          <w14:textFill>
            <w14:solidFill>
              <w14:schemeClr w14:val="tx1"/>
            </w14:solidFill>
          </w14:textFill>
        </w:rPr>
        <w:t>　　（国家或广东省对地质灾害分级标准另有规定的，从其规定）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2154" w:right="1304" w:bottom="1020" w:left="1587" w:header="567" w:footer="1417" w:gutter="57"/>
      <w:cols w:space="720" w:num="1"/>
      <w:docGrid w:type="lines" w:linePitch="47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B17FA"/>
    <w:rsid w:val="1E7B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 w:val="21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2024-08-29T06:38:00Z</dcterms:created>
  <dc:creator>ljr</dc:creator>
  <cp:lastModifiedBy>ljr</cp:lastModifiedBy>
  <dcterms:modified xsi:type="dcterms:W3CDTF">2024-08-29T06:38:45Z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20FA10CCAFAD47768AD99F5EE3BF07C1</vt:lpwstr>
  </property>
</Properties>
</file>